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FF27" w14:textId="0AFB8DDB" w:rsidR="002F6B0C" w:rsidRPr="003B3096" w:rsidRDefault="002F6B0C" w:rsidP="002F6B0C">
      <w:pPr>
        <w:jc w:val="both"/>
        <w:rPr>
          <w:rStyle w:val="Aucun"/>
          <w:rFonts w:asciiTheme="minorHAnsi" w:hAnsiTheme="minorHAnsi" w:cstheme="minorHAnsi"/>
          <w:sz w:val="18"/>
        </w:rPr>
      </w:pPr>
      <w:bookmarkStart w:id="0" w:name="_GoBack"/>
      <w:bookmarkEnd w:id="0"/>
      <w:r w:rsidRPr="0076231A">
        <w:rPr>
          <w:rStyle w:val="Aucun"/>
          <w:rFonts w:asciiTheme="minorHAnsi" w:hAnsiTheme="minorHAnsi" w:cstheme="minorHAnsi"/>
          <w:noProof/>
        </w:rPr>
        <w:drawing>
          <wp:inline distT="0" distB="0" distL="0" distR="0" wp14:anchorId="051EACE4" wp14:editId="04DB561D">
            <wp:extent cx="1943100" cy="815340"/>
            <wp:effectExtent l="0" t="0" r="0" b="3810"/>
            <wp:docPr id="1" name="Image 1" descr="logoff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fb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31A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="003B3096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Pr="0076231A">
        <w:rPr>
          <w:rStyle w:val="Aucun"/>
          <w:rFonts w:asciiTheme="minorHAnsi" w:hAnsiTheme="minorHAnsi" w:cstheme="minorHAnsi"/>
        </w:rPr>
        <w:tab/>
      </w:r>
      <w:r w:rsidRPr="003B3096">
        <w:rPr>
          <w:rStyle w:val="Aucun"/>
          <w:rFonts w:asciiTheme="minorHAnsi" w:hAnsiTheme="minorHAnsi" w:cstheme="minorHAnsi"/>
          <w:sz w:val="18"/>
        </w:rPr>
        <w:t xml:space="preserve">Paris, le </w:t>
      </w:r>
      <w:r w:rsidR="001E6D18">
        <w:rPr>
          <w:rStyle w:val="Aucun"/>
          <w:rFonts w:asciiTheme="minorHAnsi" w:hAnsiTheme="minorHAnsi" w:cstheme="minorHAnsi"/>
          <w:sz w:val="18"/>
        </w:rPr>
        <w:t>19</w:t>
      </w:r>
      <w:r w:rsidRPr="003B3096">
        <w:rPr>
          <w:rStyle w:val="Aucun"/>
          <w:rFonts w:asciiTheme="minorHAnsi" w:hAnsiTheme="minorHAnsi" w:cstheme="minorHAnsi"/>
          <w:sz w:val="18"/>
        </w:rPr>
        <w:t xml:space="preserve"> </w:t>
      </w:r>
      <w:r w:rsidR="005E3197">
        <w:rPr>
          <w:rStyle w:val="Aucun"/>
          <w:rFonts w:asciiTheme="minorHAnsi" w:hAnsiTheme="minorHAnsi" w:cstheme="minorHAnsi"/>
          <w:sz w:val="18"/>
        </w:rPr>
        <w:t>mai</w:t>
      </w:r>
      <w:r w:rsidR="00EA66CA" w:rsidRPr="003B3096">
        <w:rPr>
          <w:rStyle w:val="Aucun"/>
          <w:rFonts w:asciiTheme="minorHAnsi" w:hAnsiTheme="minorHAnsi" w:cstheme="minorHAnsi"/>
          <w:sz w:val="18"/>
        </w:rPr>
        <w:t xml:space="preserve"> 2021</w:t>
      </w:r>
    </w:p>
    <w:p w14:paraId="45335CAF" w14:textId="77777777" w:rsidR="00A6412B" w:rsidRPr="0076231A" w:rsidRDefault="00A6412B" w:rsidP="002F6B0C">
      <w:pPr>
        <w:ind w:left="709"/>
        <w:jc w:val="center"/>
        <w:rPr>
          <w:rFonts w:asciiTheme="minorHAnsi" w:hAnsiTheme="minorHAnsi" w:cstheme="minorHAnsi"/>
          <w:b/>
        </w:rPr>
      </w:pPr>
    </w:p>
    <w:p w14:paraId="5E777526" w14:textId="77777777" w:rsidR="00B968BA" w:rsidRPr="0076231A" w:rsidRDefault="002F6B0C" w:rsidP="002F6B0C">
      <w:pPr>
        <w:ind w:left="709"/>
        <w:jc w:val="center"/>
        <w:rPr>
          <w:rFonts w:asciiTheme="minorHAnsi" w:hAnsiTheme="minorHAnsi" w:cstheme="minorHAnsi"/>
          <w:b/>
          <w:caps/>
        </w:rPr>
      </w:pPr>
      <w:r w:rsidRPr="0076231A">
        <w:rPr>
          <w:rFonts w:asciiTheme="minorHAnsi" w:hAnsiTheme="minorHAnsi" w:cstheme="minorHAnsi"/>
          <w:b/>
          <w:caps/>
        </w:rPr>
        <w:t>Communiqu</w:t>
      </w:r>
      <w:r w:rsidR="00AC2C7A" w:rsidRPr="0076231A">
        <w:rPr>
          <w:rFonts w:asciiTheme="minorHAnsi" w:hAnsiTheme="minorHAnsi" w:cstheme="minorHAnsi"/>
          <w:b/>
          <w:caps/>
        </w:rPr>
        <w:t>É</w:t>
      </w:r>
      <w:r w:rsidRPr="0076231A">
        <w:rPr>
          <w:rFonts w:asciiTheme="minorHAnsi" w:hAnsiTheme="minorHAnsi" w:cstheme="minorHAnsi"/>
          <w:b/>
          <w:caps/>
        </w:rPr>
        <w:t xml:space="preserve"> de presse </w:t>
      </w:r>
    </w:p>
    <w:p w14:paraId="27D608E6" w14:textId="77777777" w:rsidR="00B968BA" w:rsidRPr="0076231A" w:rsidRDefault="00B968BA" w:rsidP="002F6B0C">
      <w:pPr>
        <w:ind w:left="709"/>
        <w:jc w:val="center"/>
        <w:rPr>
          <w:rFonts w:asciiTheme="minorHAnsi" w:hAnsiTheme="minorHAnsi" w:cstheme="minorHAnsi"/>
          <w:b/>
        </w:rPr>
      </w:pPr>
    </w:p>
    <w:p w14:paraId="5A53B8AF" w14:textId="053DA0B8" w:rsidR="000C3DA1" w:rsidRDefault="00B70879" w:rsidP="00B70879">
      <w:pPr>
        <w:ind w:left="567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bookmarkStart w:id="1" w:name="OLE_LINK1"/>
      <w:bookmarkStart w:id="2" w:name="OLE_LINK2"/>
      <w:r w:rsidRPr="00B70879">
        <w:rPr>
          <w:rFonts w:asciiTheme="minorHAnsi" w:hAnsiTheme="minorHAnsi" w:cstheme="minorHAnsi"/>
          <w:b/>
          <w:bCs/>
          <w:sz w:val="32"/>
          <w:szCs w:val="22"/>
        </w:rPr>
        <w:t xml:space="preserve">Elections départementales : </w:t>
      </w:r>
      <w:r>
        <w:rPr>
          <w:rFonts w:asciiTheme="minorHAnsi" w:hAnsiTheme="minorHAnsi" w:cstheme="minorHAnsi"/>
          <w:b/>
          <w:bCs/>
          <w:sz w:val="32"/>
          <w:szCs w:val="22"/>
        </w:rPr>
        <w:br/>
      </w:r>
      <w:r w:rsidRPr="00B70879">
        <w:rPr>
          <w:rFonts w:asciiTheme="minorHAnsi" w:hAnsiTheme="minorHAnsi" w:cstheme="minorHAnsi"/>
          <w:b/>
          <w:bCs/>
          <w:sz w:val="32"/>
          <w:szCs w:val="22"/>
        </w:rPr>
        <w:t>la FFB publie huit propositions</w:t>
      </w:r>
    </w:p>
    <w:p w14:paraId="284B5E61" w14:textId="77777777" w:rsidR="00B70879" w:rsidRDefault="00B70879" w:rsidP="00B7087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4032390A" w14:textId="77777777" w:rsidR="005E3197" w:rsidRPr="005E3197" w:rsidRDefault="005E3197" w:rsidP="00167F6E">
      <w:pPr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11F5564E" w14:textId="4A3E4959" w:rsidR="005E3197" w:rsidRDefault="001E6D18" w:rsidP="001E6D18">
      <w:pPr>
        <w:ind w:left="539"/>
        <w:jc w:val="both"/>
        <w:rPr>
          <w:rFonts w:asciiTheme="minorHAnsi" w:hAnsiTheme="minorHAnsi" w:cstheme="minorHAnsi"/>
          <w:szCs w:val="22"/>
        </w:rPr>
      </w:pPr>
      <w:r w:rsidRPr="001E6D18">
        <w:rPr>
          <w:rFonts w:asciiTheme="minorHAnsi" w:hAnsiTheme="minorHAnsi" w:cstheme="minorHAnsi"/>
          <w:szCs w:val="22"/>
        </w:rPr>
        <w:t xml:space="preserve">À l’occasion des élections départementales </w:t>
      </w:r>
      <w:r>
        <w:rPr>
          <w:rFonts w:asciiTheme="minorHAnsi" w:hAnsiTheme="minorHAnsi" w:cstheme="minorHAnsi"/>
          <w:szCs w:val="22"/>
        </w:rPr>
        <w:t>des 20 et 27</w:t>
      </w:r>
      <w:r w:rsidRPr="001E6D18">
        <w:rPr>
          <w:rFonts w:asciiTheme="minorHAnsi" w:hAnsiTheme="minorHAnsi" w:cstheme="minorHAnsi"/>
          <w:szCs w:val="22"/>
        </w:rPr>
        <w:t xml:space="preserve"> juin 2021, la </w:t>
      </w:r>
      <w:r>
        <w:rPr>
          <w:rFonts w:asciiTheme="minorHAnsi" w:hAnsiTheme="minorHAnsi" w:cstheme="minorHAnsi"/>
          <w:szCs w:val="22"/>
        </w:rPr>
        <w:t>FFB</w:t>
      </w:r>
      <w:r w:rsidRPr="001E6D18">
        <w:rPr>
          <w:rFonts w:asciiTheme="minorHAnsi" w:hAnsiTheme="minorHAnsi" w:cstheme="minorHAnsi"/>
          <w:szCs w:val="22"/>
        </w:rPr>
        <w:t xml:space="preserve"> émet huit propositions, avec pour objectif de favoriser la reprise rapide de</w:t>
      </w:r>
      <w:r>
        <w:rPr>
          <w:rFonts w:asciiTheme="minorHAnsi" w:hAnsiTheme="minorHAnsi" w:cstheme="minorHAnsi"/>
          <w:szCs w:val="22"/>
        </w:rPr>
        <w:t xml:space="preserve"> </w:t>
      </w:r>
      <w:r w:rsidRPr="001E6D18">
        <w:rPr>
          <w:rFonts w:asciiTheme="minorHAnsi" w:hAnsiTheme="minorHAnsi" w:cstheme="minorHAnsi"/>
          <w:szCs w:val="22"/>
        </w:rPr>
        <w:t>l’activité et de valoriser durablement les territoires.</w:t>
      </w:r>
    </w:p>
    <w:p w14:paraId="5290BC10" w14:textId="158B9EC3" w:rsidR="00C335FE" w:rsidRDefault="00C335FE" w:rsidP="001E6D18">
      <w:pPr>
        <w:ind w:left="539"/>
        <w:jc w:val="both"/>
        <w:rPr>
          <w:rFonts w:asciiTheme="minorHAnsi" w:hAnsiTheme="minorHAnsi" w:cstheme="minorHAnsi"/>
          <w:szCs w:val="22"/>
        </w:rPr>
      </w:pPr>
    </w:p>
    <w:p w14:paraId="2856565D" w14:textId="6D36D269" w:rsidR="00C335FE" w:rsidRDefault="00C335FE" w:rsidP="00C335FE">
      <w:pPr>
        <w:ind w:left="53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 effet, p</w:t>
      </w:r>
      <w:r w:rsidRPr="00C335FE">
        <w:rPr>
          <w:rFonts w:asciiTheme="minorHAnsi" w:hAnsiTheme="minorHAnsi" w:cstheme="minorHAnsi"/>
          <w:szCs w:val="22"/>
        </w:rPr>
        <w:t>our assurer leur rôle</w:t>
      </w:r>
      <w:r>
        <w:rPr>
          <w:rFonts w:asciiTheme="minorHAnsi" w:hAnsiTheme="minorHAnsi" w:cstheme="minorHAnsi"/>
          <w:szCs w:val="22"/>
        </w:rPr>
        <w:t xml:space="preserve"> </w:t>
      </w:r>
      <w:r w:rsidRPr="00C335FE">
        <w:rPr>
          <w:rFonts w:asciiTheme="minorHAnsi" w:hAnsiTheme="minorHAnsi" w:cstheme="minorHAnsi"/>
          <w:szCs w:val="22"/>
        </w:rPr>
        <w:t>moteur de l’économie</w:t>
      </w:r>
      <w:r>
        <w:rPr>
          <w:rFonts w:asciiTheme="minorHAnsi" w:hAnsiTheme="minorHAnsi" w:cstheme="minorHAnsi"/>
          <w:szCs w:val="22"/>
        </w:rPr>
        <w:t xml:space="preserve"> </w:t>
      </w:r>
      <w:r w:rsidRPr="00C335FE">
        <w:rPr>
          <w:rFonts w:asciiTheme="minorHAnsi" w:hAnsiTheme="minorHAnsi" w:cstheme="minorHAnsi"/>
          <w:szCs w:val="22"/>
        </w:rPr>
        <w:t>départementale, les artisans</w:t>
      </w:r>
      <w:r>
        <w:rPr>
          <w:rFonts w:asciiTheme="minorHAnsi" w:hAnsiTheme="minorHAnsi" w:cstheme="minorHAnsi"/>
          <w:szCs w:val="22"/>
        </w:rPr>
        <w:t xml:space="preserve"> </w:t>
      </w:r>
      <w:r w:rsidRPr="00C335FE">
        <w:rPr>
          <w:rFonts w:asciiTheme="minorHAnsi" w:hAnsiTheme="minorHAnsi" w:cstheme="minorHAnsi"/>
          <w:szCs w:val="22"/>
        </w:rPr>
        <w:t>et entrepreneurs du secteur</w:t>
      </w:r>
      <w:r>
        <w:rPr>
          <w:rFonts w:asciiTheme="minorHAnsi" w:hAnsiTheme="minorHAnsi" w:cstheme="minorHAnsi"/>
          <w:szCs w:val="22"/>
        </w:rPr>
        <w:t xml:space="preserve"> </w:t>
      </w:r>
      <w:r w:rsidRPr="00C335FE">
        <w:rPr>
          <w:rFonts w:asciiTheme="minorHAnsi" w:hAnsiTheme="minorHAnsi" w:cstheme="minorHAnsi"/>
          <w:szCs w:val="22"/>
        </w:rPr>
        <w:t>ont plus que jamais besoin</w:t>
      </w:r>
      <w:r>
        <w:rPr>
          <w:rFonts w:asciiTheme="minorHAnsi" w:hAnsiTheme="minorHAnsi" w:cstheme="minorHAnsi"/>
          <w:szCs w:val="22"/>
        </w:rPr>
        <w:t xml:space="preserve"> </w:t>
      </w:r>
      <w:r w:rsidRPr="00C335FE">
        <w:rPr>
          <w:rFonts w:asciiTheme="minorHAnsi" w:hAnsiTheme="minorHAnsi" w:cstheme="minorHAnsi"/>
          <w:szCs w:val="22"/>
        </w:rPr>
        <w:t>de l’appui des décideurs</w:t>
      </w:r>
      <w:r>
        <w:rPr>
          <w:rFonts w:asciiTheme="minorHAnsi" w:hAnsiTheme="minorHAnsi" w:cstheme="minorHAnsi"/>
          <w:szCs w:val="22"/>
        </w:rPr>
        <w:t xml:space="preserve"> </w:t>
      </w:r>
      <w:r w:rsidRPr="00C335FE">
        <w:rPr>
          <w:rFonts w:asciiTheme="minorHAnsi" w:hAnsiTheme="minorHAnsi" w:cstheme="minorHAnsi"/>
          <w:szCs w:val="22"/>
        </w:rPr>
        <w:t xml:space="preserve">départementaux. </w:t>
      </w:r>
      <w:r>
        <w:rPr>
          <w:rFonts w:asciiTheme="minorHAnsi" w:hAnsiTheme="minorHAnsi" w:cstheme="minorHAnsi"/>
          <w:szCs w:val="22"/>
        </w:rPr>
        <w:t xml:space="preserve">C’est pourquoi, ils proposent de : </w:t>
      </w:r>
    </w:p>
    <w:p w14:paraId="3725BAE0" w14:textId="77777777" w:rsidR="001E6D18" w:rsidRPr="005E3197" w:rsidRDefault="001E6D18" w:rsidP="001E6D18">
      <w:pPr>
        <w:ind w:left="539"/>
        <w:jc w:val="both"/>
        <w:rPr>
          <w:rFonts w:asciiTheme="minorHAnsi" w:hAnsiTheme="minorHAnsi" w:cstheme="minorHAnsi"/>
          <w:szCs w:val="22"/>
        </w:rPr>
      </w:pPr>
    </w:p>
    <w:p w14:paraId="78CF5817" w14:textId="472D4873" w:rsidR="005E3197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Lutter contre les offres anormalement basses (OAB)</w:t>
      </w:r>
    </w:p>
    <w:p w14:paraId="2F413A65" w14:textId="528C14CE" w:rsidR="00C335FE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Mettre fin à la sous-traitance « en cascade » dans le BTP</w:t>
      </w:r>
    </w:p>
    <w:p w14:paraId="6306F6D4" w14:textId="493DBB2A" w:rsidR="00C335FE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Prendre en compte les spécificités pour les marchés du BIM</w:t>
      </w:r>
    </w:p>
    <w:p w14:paraId="6042154B" w14:textId="67F4B035" w:rsidR="00C335FE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Valoriser l’apprentissage en le comptabilisant au titre des clauses d’insertion</w:t>
      </w:r>
    </w:p>
    <w:p w14:paraId="3118D58B" w14:textId="7EFD29B9" w:rsidR="00C335FE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Ne pas céder au totem du « zéro artificialisation »</w:t>
      </w:r>
    </w:p>
    <w:p w14:paraId="5136A3CE" w14:textId="7FF64928" w:rsidR="00C335FE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Participer à l’éradication de la précarité énergétique</w:t>
      </w:r>
    </w:p>
    <w:p w14:paraId="2661725A" w14:textId="6E0C5904" w:rsidR="00C335FE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Accompagner la RE 2020</w:t>
      </w:r>
    </w:p>
    <w:p w14:paraId="6ABFEF67" w14:textId="0AD7801D" w:rsidR="00C335FE" w:rsidRPr="00C335FE" w:rsidRDefault="00C335FE" w:rsidP="00C335FE">
      <w:pPr>
        <w:pStyle w:val="Paragraphedeliste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theme="minorHAnsi"/>
          <w:sz w:val="24"/>
        </w:rPr>
      </w:pPr>
      <w:r w:rsidRPr="00C335FE">
        <w:rPr>
          <w:rFonts w:asciiTheme="minorHAnsi" w:hAnsiTheme="minorHAnsi" w:cstheme="minorHAnsi"/>
          <w:sz w:val="24"/>
        </w:rPr>
        <w:t>Assurer une couverture numérique optimale et accompagner le déploiement du BIM</w:t>
      </w:r>
    </w:p>
    <w:p w14:paraId="22CCC200" w14:textId="77777777" w:rsidR="00167F6E" w:rsidRPr="00167F6E" w:rsidRDefault="00167F6E" w:rsidP="001E6D18">
      <w:pPr>
        <w:ind w:left="539"/>
        <w:jc w:val="both"/>
        <w:rPr>
          <w:rFonts w:asciiTheme="minorHAnsi" w:hAnsiTheme="minorHAnsi" w:cstheme="minorHAnsi"/>
          <w:sz w:val="14"/>
          <w:szCs w:val="22"/>
        </w:rPr>
      </w:pPr>
    </w:p>
    <w:p w14:paraId="67B3F84D" w14:textId="7B7DC3C8" w:rsidR="001E6D18" w:rsidRPr="001E6D18" w:rsidRDefault="005E3197" w:rsidP="001E6D18">
      <w:pPr>
        <w:ind w:left="539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Pour Olivier SALLERON, p</w:t>
      </w:r>
      <w:r w:rsidRPr="005E3197">
        <w:rPr>
          <w:rFonts w:asciiTheme="minorHAnsi" w:hAnsiTheme="minorHAnsi" w:cstheme="minorHAnsi"/>
          <w:szCs w:val="22"/>
        </w:rPr>
        <w:t xml:space="preserve">résident de la FFB, « </w:t>
      </w:r>
      <w:r w:rsidR="001E6D18" w:rsidRPr="001E6D18">
        <w:rPr>
          <w:rFonts w:asciiTheme="minorHAnsi" w:hAnsiTheme="minorHAnsi" w:cstheme="minorHAnsi"/>
          <w:i/>
          <w:szCs w:val="22"/>
        </w:rPr>
        <w:t>La relance économique ne se décrète pas. Elle</w:t>
      </w:r>
      <w:r w:rsidR="001E6D18">
        <w:rPr>
          <w:rFonts w:asciiTheme="minorHAnsi" w:hAnsiTheme="minorHAnsi" w:cstheme="minorHAnsi"/>
          <w:i/>
          <w:szCs w:val="22"/>
        </w:rPr>
        <w:t xml:space="preserve"> </w:t>
      </w:r>
      <w:r w:rsidR="001E6D18" w:rsidRPr="001E6D18">
        <w:rPr>
          <w:rFonts w:asciiTheme="minorHAnsi" w:hAnsiTheme="minorHAnsi" w:cstheme="minorHAnsi"/>
          <w:i/>
          <w:szCs w:val="22"/>
        </w:rPr>
        <w:t>ne peut se déployer que dans et par les territoires. Grâce à son</w:t>
      </w:r>
      <w:r w:rsidR="001E6D18">
        <w:rPr>
          <w:rFonts w:asciiTheme="minorHAnsi" w:hAnsiTheme="minorHAnsi" w:cstheme="minorHAnsi"/>
          <w:i/>
          <w:szCs w:val="22"/>
        </w:rPr>
        <w:t xml:space="preserve"> </w:t>
      </w:r>
      <w:r w:rsidR="001E6D18" w:rsidRPr="001E6D18">
        <w:rPr>
          <w:rFonts w:asciiTheme="minorHAnsi" w:hAnsiTheme="minorHAnsi" w:cstheme="minorHAnsi"/>
          <w:i/>
          <w:szCs w:val="22"/>
        </w:rPr>
        <w:t>maillage territorial de proximité et à sa capacité d’innovation, le</w:t>
      </w:r>
      <w:r w:rsidR="001E6D18">
        <w:rPr>
          <w:rFonts w:asciiTheme="minorHAnsi" w:hAnsiTheme="minorHAnsi" w:cstheme="minorHAnsi"/>
          <w:i/>
          <w:szCs w:val="22"/>
        </w:rPr>
        <w:t xml:space="preserve"> </w:t>
      </w:r>
      <w:r w:rsidR="001E6D18" w:rsidRPr="001E6D18">
        <w:rPr>
          <w:rFonts w:asciiTheme="minorHAnsi" w:hAnsiTheme="minorHAnsi" w:cstheme="minorHAnsi"/>
          <w:i/>
          <w:szCs w:val="22"/>
        </w:rPr>
        <w:t>bâtiment est en mesure de donner cet élan positif. C’est dans cet</w:t>
      </w:r>
      <w:r w:rsidR="001E6D18">
        <w:rPr>
          <w:rFonts w:asciiTheme="minorHAnsi" w:hAnsiTheme="minorHAnsi" w:cstheme="minorHAnsi"/>
          <w:i/>
          <w:szCs w:val="22"/>
        </w:rPr>
        <w:t xml:space="preserve"> </w:t>
      </w:r>
      <w:r w:rsidR="001E6D18" w:rsidRPr="001E6D18">
        <w:rPr>
          <w:rFonts w:asciiTheme="minorHAnsi" w:hAnsiTheme="minorHAnsi" w:cstheme="minorHAnsi"/>
          <w:i/>
          <w:szCs w:val="22"/>
        </w:rPr>
        <w:t>esprit que nous formulons huit propositions aujourd’hui.</w:t>
      </w:r>
    </w:p>
    <w:p w14:paraId="105D8FC6" w14:textId="654123B7" w:rsidR="005E3197" w:rsidRDefault="001E6D18" w:rsidP="001E6D18">
      <w:pPr>
        <w:ind w:left="53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lastRenderedPageBreak/>
        <w:t>Les 50 </w:t>
      </w:r>
      <w:r w:rsidRPr="001E6D18">
        <w:rPr>
          <w:rFonts w:asciiTheme="minorHAnsi" w:hAnsiTheme="minorHAnsi" w:cstheme="minorHAnsi"/>
          <w:i/>
          <w:szCs w:val="22"/>
        </w:rPr>
        <w:t xml:space="preserve">000 entreprises adhérentes de la </w:t>
      </w:r>
      <w:r>
        <w:rPr>
          <w:rFonts w:asciiTheme="minorHAnsi" w:hAnsiTheme="minorHAnsi" w:cstheme="minorHAnsi"/>
          <w:i/>
          <w:szCs w:val="22"/>
        </w:rPr>
        <w:t>FFB, dont 35 000 </w:t>
      </w:r>
      <w:r w:rsidRPr="001E6D18">
        <w:rPr>
          <w:rFonts w:asciiTheme="minorHAnsi" w:hAnsiTheme="minorHAnsi" w:cstheme="minorHAnsi"/>
          <w:i/>
          <w:szCs w:val="22"/>
        </w:rPr>
        <w:t>de taille artisanale, ont à cœur de participer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1E6D18">
        <w:rPr>
          <w:rFonts w:asciiTheme="minorHAnsi" w:hAnsiTheme="minorHAnsi" w:cstheme="minorHAnsi"/>
          <w:i/>
          <w:szCs w:val="22"/>
        </w:rPr>
        <w:t>aux débats qui s’engagent pour fixer les priorités départementales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1E6D18">
        <w:rPr>
          <w:rFonts w:asciiTheme="minorHAnsi" w:hAnsiTheme="minorHAnsi" w:cstheme="minorHAnsi"/>
          <w:i/>
          <w:szCs w:val="22"/>
        </w:rPr>
        <w:t>des six prochaines années.</w:t>
      </w:r>
      <w:r w:rsidR="005E3197" w:rsidRPr="005E3197">
        <w:rPr>
          <w:rFonts w:asciiTheme="minorHAnsi" w:hAnsiTheme="minorHAnsi" w:cstheme="minorHAnsi"/>
          <w:szCs w:val="22"/>
        </w:rPr>
        <w:t xml:space="preserve"> ».</w:t>
      </w:r>
    </w:p>
    <w:p w14:paraId="08DE9D8A" w14:textId="706147D7" w:rsidR="00183047" w:rsidRDefault="00183047" w:rsidP="005E3197">
      <w:pPr>
        <w:ind w:left="539"/>
        <w:jc w:val="right"/>
        <w:rPr>
          <w:rStyle w:val="Aucun"/>
          <w:rFonts w:ascii="Calibri" w:hAnsi="Calibri" w:cs="Calibri"/>
          <w:sz w:val="20"/>
          <w:szCs w:val="20"/>
        </w:rPr>
      </w:pPr>
      <w:r w:rsidRPr="005B75DB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</w:rPr>
        <w:t>Con</w:t>
      </w:r>
      <w:r w:rsidRPr="00724DAA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tact</w:t>
      </w:r>
      <w:r w:rsidRPr="00724DAA">
        <w:rPr>
          <w:rStyle w:val="Aucun"/>
          <w:rFonts w:ascii="Calibri" w:hAnsi="Calibri" w:cs="Calibri"/>
          <w:sz w:val="20"/>
          <w:szCs w:val="20"/>
        </w:rPr>
        <w:t xml:space="preserve"> : </w:t>
      </w:r>
    </w:p>
    <w:p w14:paraId="5F4E63DD" w14:textId="77777777" w:rsidR="00183047" w:rsidRDefault="00183047" w:rsidP="000E1B03">
      <w:pPr>
        <w:ind w:left="539"/>
        <w:jc w:val="right"/>
        <w:rPr>
          <w:rStyle w:val="Aucun"/>
          <w:rFonts w:ascii="Calibri" w:hAnsi="Calibri" w:cs="Calibri"/>
          <w:sz w:val="20"/>
          <w:szCs w:val="20"/>
        </w:rPr>
      </w:pPr>
      <w:r>
        <w:rPr>
          <w:rStyle w:val="Aucun"/>
          <w:rFonts w:ascii="Calibri" w:hAnsi="Calibri" w:cs="Calibri"/>
          <w:sz w:val="20"/>
          <w:szCs w:val="20"/>
        </w:rPr>
        <w:t>Anaïk CUCHEVAL</w:t>
      </w:r>
    </w:p>
    <w:p w14:paraId="5D5A0B7C" w14:textId="77777777" w:rsidR="00183047" w:rsidRDefault="00183047" w:rsidP="000E1B03">
      <w:pPr>
        <w:ind w:left="539"/>
        <w:jc w:val="right"/>
        <w:rPr>
          <w:rStyle w:val="Aucun"/>
          <w:rFonts w:ascii="Calibri" w:hAnsi="Calibri" w:cs="Calibri"/>
          <w:sz w:val="20"/>
          <w:szCs w:val="20"/>
        </w:rPr>
      </w:pPr>
      <w:r w:rsidRPr="00724DAA">
        <w:rPr>
          <w:rStyle w:val="Aucun"/>
          <w:rFonts w:ascii="Calibri" w:hAnsi="Calibri" w:cs="Calibri"/>
          <w:sz w:val="20"/>
          <w:szCs w:val="20"/>
        </w:rPr>
        <w:t>Tél. : 01 40 69 51 39</w:t>
      </w:r>
    </w:p>
    <w:p w14:paraId="62776F4F" w14:textId="77777777" w:rsidR="00183047" w:rsidRPr="00A85AAF" w:rsidRDefault="002E0DD6" w:rsidP="000E1B03">
      <w:pPr>
        <w:ind w:left="539"/>
        <w:jc w:val="right"/>
        <w:rPr>
          <w:rFonts w:ascii="Calibri" w:hAnsi="Calibri"/>
          <w:sz w:val="22"/>
          <w:szCs w:val="22"/>
        </w:rPr>
      </w:pPr>
      <w:hyperlink r:id="rId9" w:history="1">
        <w:r w:rsidR="00183047" w:rsidRPr="00A85AAF">
          <w:rPr>
            <w:rStyle w:val="Hyperlink1"/>
          </w:rPr>
          <w:t>cuchevala@national.ffbatiment.fr</w:t>
        </w:r>
      </w:hyperlink>
    </w:p>
    <w:p w14:paraId="6C514706" w14:textId="2083F61A" w:rsidR="00B968BA" w:rsidRPr="0076231A" w:rsidRDefault="002E0DD6" w:rsidP="00167F6E">
      <w:pPr>
        <w:ind w:left="539"/>
        <w:jc w:val="right"/>
        <w:rPr>
          <w:rFonts w:asciiTheme="minorHAnsi" w:hAnsiTheme="minorHAnsi" w:cstheme="minorHAnsi"/>
        </w:rPr>
      </w:pPr>
      <w:hyperlink r:id="rId10" w:history="1">
        <w:r w:rsidR="00183047" w:rsidRPr="00A85AAF">
          <w:rPr>
            <w:rStyle w:val="Lienhypertexte"/>
            <w:rFonts w:ascii="Calibri" w:hAnsi="Calibri"/>
            <w:sz w:val="22"/>
            <w:szCs w:val="22"/>
          </w:rPr>
          <w:t>@AnaikCucheval</w:t>
        </w:r>
      </w:hyperlink>
    </w:p>
    <w:sectPr w:rsidR="00B968BA" w:rsidRPr="0076231A" w:rsidSect="000E1B03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814AD" w14:textId="77777777" w:rsidR="002E0DD6" w:rsidRDefault="002E0DD6" w:rsidP="002F6B0C">
      <w:r>
        <w:separator/>
      </w:r>
    </w:p>
  </w:endnote>
  <w:endnote w:type="continuationSeparator" w:id="0">
    <w:p w14:paraId="28A2B8C9" w14:textId="77777777" w:rsidR="002E0DD6" w:rsidRDefault="002E0DD6" w:rsidP="002F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AEC0" w14:textId="7EEDCABC" w:rsidR="00724DAA" w:rsidRPr="00167F6E" w:rsidRDefault="008B780B" w:rsidP="00167F6E">
    <w:pPr>
      <w:jc w:val="both"/>
      <w:rPr>
        <w:rFonts w:ascii="Verdana" w:hAnsi="Verdana"/>
        <w:color w:val="0000FF"/>
        <w:sz w:val="16"/>
        <w:szCs w:val="16"/>
        <w:u w:val="single"/>
      </w:rPr>
    </w:pPr>
    <w:r w:rsidRPr="00662613">
      <w:rPr>
        <w:rFonts w:ascii="Verdana" w:hAnsi="Verdana"/>
        <w:sz w:val="16"/>
        <w:szCs w:val="16"/>
      </w:rPr>
      <w:t>La Fédération Française du Bâtiment (FFB) est forte de 50 000 adhérents, dont 35 000 de taille artisanale. Ces entreprises réalisent les 2/3 des 1</w:t>
    </w:r>
    <w:r>
      <w:rPr>
        <w:rFonts w:ascii="Verdana" w:hAnsi="Verdana"/>
        <w:sz w:val="16"/>
        <w:szCs w:val="16"/>
      </w:rPr>
      <w:t>48</w:t>
    </w:r>
    <w:r w:rsidRPr="00662613">
      <w:rPr>
        <w:rFonts w:ascii="Verdana" w:hAnsi="Verdana"/>
        <w:sz w:val="16"/>
        <w:szCs w:val="16"/>
      </w:rPr>
      <w:t>* milliards d’euros HT du chiffre d’affaire</w:t>
    </w:r>
    <w:r>
      <w:rPr>
        <w:rFonts w:ascii="Verdana" w:hAnsi="Verdana"/>
        <w:sz w:val="16"/>
        <w:szCs w:val="16"/>
      </w:rPr>
      <w:t>s et emploient les 2/3 des 1 121</w:t>
    </w:r>
    <w:r w:rsidRPr="00662613">
      <w:rPr>
        <w:rFonts w:ascii="Verdana" w:hAnsi="Verdana"/>
        <w:sz w:val="16"/>
        <w:szCs w:val="16"/>
      </w:rPr>
      <w:t> 000* salariés du secteur. Déclarée officiellement 1</w:t>
    </w:r>
    <w:r w:rsidRPr="00662613">
      <w:rPr>
        <w:rFonts w:ascii="Verdana" w:hAnsi="Verdana"/>
        <w:sz w:val="16"/>
        <w:szCs w:val="16"/>
        <w:vertAlign w:val="superscript"/>
      </w:rPr>
      <w:t>ère</w:t>
    </w:r>
    <w:r w:rsidRPr="00662613">
      <w:rPr>
        <w:rFonts w:ascii="Verdana" w:hAnsi="Verdana"/>
        <w:sz w:val="16"/>
        <w:szCs w:val="16"/>
      </w:rPr>
      <w:t xml:space="preserve"> organisation patronale représentative des employeurs du bâtiment, pour toutes les tailles d’entreprise, la FFB défend en toute indépendance les intérêts collectifs de l’ensemble de la branche (*</w:t>
    </w:r>
    <w:r w:rsidRPr="00D156C7">
      <w:rPr>
        <w:rFonts w:ascii="Verdana" w:hAnsi="Verdana"/>
        <w:sz w:val="12"/>
        <w:szCs w:val="16"/>
      </w:rPr>
      <w:t>chiffres 201</w:t>
    </w:r>
    <w:r>
      <w:rPr>
        <w:rFonts w:ascii="Verdana" w:hAnsi="Verdana"/>
        <w:sz w:val="12"/>
        <w:szCs w:val="16"/>
      </w:rPr>
      <w:t>9</w:t>
    </w:r>
    <w:r w:rsidRPr="00662613">
      <w:rPr>
        <w:rFonts w:ascii="Verdana" w:hAnsi="Verdana"/>
        <w:sz w:val="16"/>
        <w:szCs w:val="16"/>
      </w:rPr>
      <w:t xml:space="preserve">). </w:t>
    </w:r>
    <w:hyperlink r:id="rId1" w:history="1">
      <w:r w:rsidRPr="00662613">
        <w:rPr>
          <w:rStyle w:val="Lienhypertexte"/>
          <w:rFonts w:ascii="Verdana" w:hAnsi="Verdana"/>
          <w:sz w:val="16"/>
          <w:szCs w:val="16"/>
        </w:rPr>
        <w:t>www.ffbatiment.fr</w:t>
      </w:r>
    </w:hyperlink>
    <w:r w:rsidRPr="00662613">
      <w:rPr>
        <w:rFonts w:ascii="Verdana" w:hAnsi="Verdana"/>
        <w:sz w:val="16"/>
        <w:szCs w:val="16"/>
      </w:rPr>
      <w:t xml:space="preserve"> ou </w:t>
    </w:r>
    <w:hyperlink r:id="rId2" w:history="1">
      <w:r w:rsidRPr="00662613">
        <w:rPr>
          <w:rStyle w:val="Lienhypertexte"/>
          <w:rFonts w:ascii="Verdana" w:hAnsi="Verdana"/>
          <w:sz w:val="16"/>
          <w:szCs w:val="16"/>
        </w:rPr>
        <w:t>@FFBatiment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1075C" w14:textId="77777777" w:rsidR="002E0DD6" w:rsidRDefault="002E0DD6" w:rsidP="002F6B0C">
      <w:r>
        <w:separator/>
      </w:r>
    </w:p>
  </w:footnote>
  <w:footnote w:type="continuationSeparator" w:id="0">
    <w:p w14:paraId="3C50A7A0" w14:textId="77777777" w:rsidR="002E0DD6" w:rsidRDefault="002E0DD6" w:rsidP="002F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5E"/>
    <w:multiLevelType w:val="hybridMultilevel"/>
    <w:tmpl w:val="9B882666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C28686D"/>
    <w:multiLevelType w:val="hybridMultilevel"/>
    <w:tmpl w:val="4CB094D0"/>
    <w:lvl w:ilvl="0" w:tplc="D744E8EC">
      <w:start w:val="1"/>
      <w:numFmt w:val="decimal"/>
      <w:lvlText w:val="(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F2B05"/>
    <w:multiLevelType w:val="hybridMultilevel"/>
    <w:tmpl w:val="B8120330"/>
    <w:lvl w:ilvl="0" w:tplc="5734C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BA"/>
    <w:rsid w:val="00056576"/>
    <w:rsid w:val="000C3DA1"/>
    <w:rsid w:val="000D7087"/>
    <w:rsid w:val="000E1B03"/>
    <w:rsid w:val="00167F6E"/>
    <w:rsid w:val="00183047"/>
    <w:rsid w:val="001D170E"/>
    <w:rsid w:val="001D5DD1"/>
    <w:rsid w:val="001E6D18"/>
    <w:rsid w:val="00216916"/>
    <w:rsid w:val="00291313"/>
    <w:rsid w:val="0029327D"/>
    <w:rsid w:val="002A6DEE"/>
    <w:rsid w:val="002D76F2"/>
    <w:rsid w:val="002E0127"/>
    <w:rsid w:val="002E0DD6"/>
    <w:rsid w:val="002E2565"/>
    <w:rsid w:val="002F1C0A"/>
    <w:rsid w:val="002F5350"/>
    <w:rsid w:val="002F5702"/>
    <w:rsid w:val="002F6B0C"/>
    <w:rsid w:val="00302D14"/>
    <w:rsid w:val="003A394C"/>
    <w:rsid w:val="003B3096"/>
    <w:rsid w:val="003D3DEA"/>
    <w:rsid w:val="00403E54"/>
    <w:rsid w:val="00415594"/>
    <w:rsid w:val="004257BE"/>
    <w:rsid w:val="00470917"/>
    <w:rsid w:val="0049178A"/>
    <w:rsid w:val="004E4668"/>
    <w:rsid w:val="0053549E"/>
    <w:rsid w:val="00541CD4"/>
    <w:rsid w:val="005B75DB"/>
    <w:rsid w:val="005E3197"/>
    <w:rsid w:val="00654C3A"/>
    <w:rsid w:val="007047D8"/>
    <w:rsid w:val="00724DAA"/>
    <w:rsid w:val="0076231A"/>
    <w:rsid w:val="00863C60"/>
    <w:rsid w:val="008967B2"/>
    <w:rsid w:val="00897A14"/>
    <w:rsid w:val="008B780B"/>
    <w:rsid w:val="00913A65"/>
    <w:rsid w:val="009368F3"/>
    <w:rsid w:val="00971123"/>
    <w:rsid w:val="009B3CE6"/>
    <w:rsid w:val="009F3E93"/>
    <w:rsid w:val="009F60FD"/>
    <w:rsid w:val="00A44F5D"/>
    <w:rsid w:val="00A6412B"/>
    <w:rsid w:val="00AC2C7A"/>
    <w:rsid w:val="00AD09AF"/>
    <w:rsid w:val="00AF5125"/>
    <w:rsid w:val="00B15EC4"/>
    <w:rsid w:val="00B26A0D"/>
    <w:rsid w:val="00B27DDC"/>
    <w:rsid w:val="00B70879"/>
    <w:rsid w:val="00B968BA"/>
    <w:rsid w:val="00BC6013"/>
    <w:rsid w:val="00BD66FE"/>
    <w:rsid w:val="00C32E27"/>
    <w:rsid w:val="00C335FE"/>
    <w:rsid w:val="00C6051C"/>
    <w:rsid w:val="00C670CD"/>
    <w:rsid w:val="00CE5EDE"/>
    <w:rsid w:val="00CF520A"/>
    <w:rsid w:val="00D0327A"/>
    <w:rsid w:val="00D03604"/>
    <w:rsid w:val="00D176B3"/>
    <w:rsid w:val="00D765B0"/>
    <w:rsid w:val="00DC06DA"/>
    <w:rsid w:val="00E00CA7"/>
    <w:rsid w:val="00E118D7"/>
    <w:rsid w:val="00E556A0"/>
    <w:rsid w:val="00EA2944"/>
    <w:rsid w:val="00EA66CA"/>
    <w:rsid w:val="00F037CF"/>
    <w:rsid w:val="00F338B8"/>
    <w:rsid w:val="00F41350"/>
    <w:rsid w:val="00FB0585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EB5"/>
  <w15:docId w15:val="{F64C1E97-04D0-4878-93E4-9E92F4C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B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B968BA"/>
  </w:style>
  <w:style w:type="character" w:styleId="Lienhypertexte">
    <w:name w:val="Hyperlink"/>
    <w:uiPriority w:val="99"/>
    <w:unhideWhenUsed/>
    <w:rsid w:val="00B968BA"/>
    <w:rPr>
      <w:color w:val="0000FF"/>
      <w:u w:val="single"/>
    </w:rPr>
  </w:style>
  <w:style w:type="character" w:customStyle="1" w:styleId="Hyperlink1">
    <w:name w:val="Hyperlink.1"/>
    <w:rsid w:val="00B968B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En-tte">
    <w:name w:val="header"/>
    <w:basedOn w:val="Normal"/>
    <w:link w:val="En-tteCar"/>
    <w:uiPriority w:val="99"/>
    <w:unhideWhenUsed/>
    <w:rsid w:val="002F6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6B0C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6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B0C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5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576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5354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54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4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49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49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327D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naikCuchev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chevala@national.ffbatiment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" TargetMode="External"/><Relationship Id="rId1" Type="http://schemas.openxmlformats.org/officeDocument/2006/relationships/hyperlink" Target="http://www.ffbatimen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51C9-3C72-4E98-9678-CC19A864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</dc:creator>
  <cp:lastModifiedBy>CHAULET Marion ( FFB Editions Presse et communication )</cp:lastModifiedBy>
  <cp:revision>2</cp:revision>
  <cp:lastPrinted>2021-04-14T13:57:00Z</cp:lastPrinted>
  <dcterms:created xsi:type="dcterms:W3CDTF">2021-05-19T07:35:00Z</dcterms:created>
  <dcterms:modified xsi:type="dcterms:W3CDTF">2021-05-19T07:35:00Z</dcterms:modified>
</cp:coreProperties>
</file>